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inizio"/>
      <w:r w:rsidRPr="0037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HOKYO ZANMAI</w:t>
      </w:r>
      <w:bookmarkEnd w:id="0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37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(</w:t>
      </w:r>
      <w:proofErr w:type="spellStart"/>
      <w:r w:rsidRPr="0037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Pao-ching</w:t>
      </w:r>
      <w:proofErr w:type="spellEnd"/>
      <w:r w:rsidRPr="0037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37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san-mai</w:t>
      </w:r>
      <w:proofErr w:type="spellEnd"/>
      <w:r w:rsidRPr="0037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)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Il </w:t>
      </w:r>
      <w:proofErr w:type="spellStart"/>
      <w:r w:rsidRPr="0037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samadhi</w:t>
      </w:r>
      <w:proofErr w:type="spellEnd"/>
      <w:r w:rsidRPr="0037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dello specchio prezioso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Tozan</w:t>
      </w:r>
      <w:proofErr w:type="spellEnd"/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(</w:t>
      </w:r>
      <w:proofErr w:type="spellStart"/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Tung-shan</w:t>
      </w:r>
      <w:proofErr w:type="spellEnd"/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)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1. I Buddha e i patriarchi, tutti trasmisero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direttamente la verità fondamentale: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conservatela intatta; adesso è con voi, ciò basta.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2. Sul piatto d’argento fiocca la neve bianca;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il niveo airone nella luce della luna si nasconde.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Coppie vicine eppure non sovrapposte;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mescolandole insieme possiamo differenziare.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3. La mente suprema a parole non può essere espressa,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eppure, ad ogni vostro bisogno essa risponde.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Schiavi delle parole, avanzando, nel baratro cadete,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se ve ne allontanate, però, siete in un vicolo cieco.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E’ come un’enorme palla di fuoco: mai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avvicinarsi troppo, nemmeno tenersi via.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4. Parole troppo brillanti rischiano di abbagliare: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di notte c’è chiarore, all’alba non c’è luce.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5. Ciò vale per gli esseri tutti, con ciò ci liberiamo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da sofferenza. Anche se non prodotta dall’ingegno,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è verità che trova strada nelle parole dei maestri.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E’ come quando guardi nello specchio prezioso,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vedendo insieme ombra e sostanza; esso è te, tu non sei lui.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E’ come per i neonati, che, pur avendo i cinque sensi,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non possono andare e neanche ritornare,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non possono alzare e neanche lasciar andare;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posseggono parole che non possono usare.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Tutto sommato, non afferri niente, non servono le parole.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6. Sei bastoncini ammucchiati, continuamente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stanno in mutua relazione: il centro e gli estremi.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Presi a tre, ritornano alla configurazione originale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dopo i cinque mutamenti: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come cinque sono i sapori dell’erba "chi"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come cinque sono i rami dello scettro adamantino.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7. L’essenza assoluta mantiene per sua natura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molteplici fenomeni in delicato equilibrio.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8. Quando lo studente chiede, il maestro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si fa incontro con la risposta;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per portarlo alla verità finale egli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sta usando i mezzi opportuni.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La verità finale desiderano i ricercatori,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i mezzi abili il maestro sta offrendo: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preso nella miscela giusta, ciò è buono.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9. Evita solo l’attaccamento, ciò è sufficiente.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La verità suprema è naturale e non si attacca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all’illusione, neppure all’illuminazione.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10. Con calma, si mostra chiaramente quando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son mature le condizioni tutte.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Quando è piccola, infinitesima diventa,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quando è grande, trascende lo spazio e le dimensioni: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anche un solo fremito può danneggiare il ritmo.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11. Si parla adesso dell’improvviso e del graduale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 si separano perciò le sette, creando pratiche,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dottrine, che diventano, in seguito, conformismi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che accettiamo nella condotta religiosa.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Anche penetrando queste pratiche, queste dottrine,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facendo poi fluire coscienza illusoria nell’eterna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verità, nessun progresso avremmo conseguito.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12. Se appariamo fuori tutti calmi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ma dentro rimaniamo disturbati,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siamo come il cavallo in pastoie,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siamo come il topo intrappolato.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13. Provando pena per questo stato,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i saggi d’una volta diffusero l’insegnamento.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essendo le menti degli studenti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sviate dalle illusioni,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i veri saggi lo adeguarono a loro,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usando mezzi così estremi da arrivar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persino a chiamare il nero bianco.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14. Abbandonare il pensiero illusorio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ti porterà soddisfazioni;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se instradarti vuoi nell’antica via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osserva gli esempi di una volta.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15. Per compiere l’ultimo passo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verso la vera illuminazione,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un precedente Buddha si addestrò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per dieci lunghi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kalpa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fissando l’albero della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bodhi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Così ristretta, la libertà originaria è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come una tigre con le orecchie lacerate,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come un cavallo zoppicante.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16. Il saggio dirà allo studente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il quale si sente umile e inferiore,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che sulla sua testa brilla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un diadema ingioiellato e il suo corpo è avvolto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da ricche tuniche, i piedi morbidamente appoggiati.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E, se lo studente, sentendo ciò, prova stupore o dubbio,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il saggio lo assicura che anche fra i gatti o fra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le mucche bianche ci sono specie perfette come sono.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17. Il leggendario arciere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Yi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colpiva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a cento metri il bersaglio, essendo abile assai;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ma, far scontrare due frecce in aria,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va al di là di ogni abilità da uomo ordinario.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18. Nella suprema attività della non-mente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guarda: l’uomo di legno canta,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la fanciulla di pietra danza!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Tutto ciò è ben lontano dalla comune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coscienza, non si esprime con il pensiero.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19. Il cortigiano serve il suo signore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 il fanciullo ubbidisce al padre.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Senza obbedienza non c’è pietà filiale,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senza servizio non c’è consiglio.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20. Tali azioni, tali lavori non vistosi,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sembrano stupidi e non affascinanti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ma quelli che praticano così la Legge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per l’eternità saranno, in tutti i mondi,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chiamati signori dei signori.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(a cura di Theodor </w:t>
      </w:r>
      <w:proofErr w:type="spellStart"/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Entai</w:t>
      </w:r>
      <w:proofErr w:type="spellEnd"/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Rosenberg e Teresa </w:t>
      </w:r>
      <w:proofErr w:type="spellStart"/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Maddi</w:t>
      </w:r>
      <w:proofErr w:type="spellEnd"/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)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noshade="t" o:hr="t" fillcolor="black" stroked="f"/>
        </w:pic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NOTE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presenti note non hanno l’intenzione di fornire una spiegazione esaustiva del testo ma solo di fornire precisazioni per vocaboli o riferimenti culturali che possono risultare poco noti e di offrire ulteriori spunti di riflessione. La lettura personale dovrà creare in ciascuno nuovi stimoli, lampi d’"illuminazione".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2. Nelle immagini sono rappresentati due fenomeni. Il bianco rappresenta i fenomeni, l’oscuro il vuoto. Così percepiamo il vuoto solo attraverso i fenomeni, lo possiamo afferrare solo tramite questo tipo di confronto.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3. Usando le parole spesso si cade nel dualismo ("baratro"), nella separazione fra me e il mondo. Ma non usare l’intelligenza significa cadere nell’ignoranza ("vicolo cieco"), nell’indifferenza, nella mente inerte, ottusa, che non distingue. La mente risvegliata è una mente sveglia che distingue e non si lascia ingannare.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4. Non lasciatevi sviare da parole che precisano troppo. L’essenza non è il massimo di chiarezza ma il massimo equilibrio fra luce e buio. (Vedi anche punto 11).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5. "Ciò": l’inesprimibile che posso solo indicare. Quando il nostro intelletto è sincero, semplicemente non può esprimere. Non è influenzato da categorie, come non lo è un neonato: quando queste categorie si formano egli comincerà a vedere ciò che gli è stato insegnato di vedere.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6. I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princìpi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fondamentali della logica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Soto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chiamano Go I (Go: cinque; I: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princìpi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e vengono rappresentati basandosi sugli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esagrammi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degli I King, presi a tre. (Vedi appendice, sotto </w:t>
      </w:r>
      <w:proofErr w:type="spellStart"/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Tung-shan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L’erba "chi" è una pianta che, nelle sue varie parti, possiede i cinque sapori: dolce, salato, piccante, agro, amaro. Differenti gusti si equilibrano per formare un’assenza di sapore. Infine, il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vajra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("scettro adamantino") realizza la sintesi delle saggezze espresse nelle metafore precedenti. Lo si può vedere nella mano sinistra di alcune rappresentazioni di Buddha o di divinità tibetane; i lama la tengono in mano durante le cerimonie. Simbolizza lo spirito della condizione risvegliata che tronca tutte le illusioni: nei tempi antichi era difatti un’arma.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8. L’essenza stessa dello zen consiste nel non utilizzo, da parte del Maestro, di un metodo prefissato d’insegnamento, di un serie di pratiche consolidate per guidare l’allievo. I </w:t>
      </w:r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mezzi abili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(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upaya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sono spesso mezzi estremi (vedi punto 13) che il Maestro adatta alle varie circostanze per indirizzare la mente dell’allievo. A volte, addirittura,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poichè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logica e il linguaggio si rivelano insufficienti per cogliere o spiegare la realtà, è meglio ricorrere ai gesti e all’azione, come faceva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Lin-chi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Rinzai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). Gli espedienti cui più comunemente ricorreva sono l’urlo e il bastone. I colpi e gli urli servivano a scuotere il discepolo, a spingerlo a superare i limiti del linguaggio verbale.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9. L’illuminato è colui che ha equilibrato la mente, non che ha scoperto qualcosa. Il Buddha è la mente di tutti i giorni, non una mente speciale.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11. Parole troppo taglienti,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definitorie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creano categorie: è così che nella storia si sono formate le sette (religiose, politiche, filosofiche). Nell’ambito del Ch’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nella prima metà dell’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VIII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secolo si determinarono due correnti: la scuola del Nord e la scuola del Sud: vedi appendice sotto </w:t>
      </w:r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Ch’</w:t>
      </w:r>
      <w:proofErr w:type="spellStart"/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an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15. Diventare un Buddha che ripete il tipo di illuminazione del Buddha non interessa: imitando non si ottiene la propria mente. Sulla scia del taoismo: curare la mente naturale.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17. L’illuminazione non è una cosa da scoprire, un qualcosa di statico, ma una scintilla che sprizza, una potenzialità che viene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realizzata.Non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esiste un punto fisso come la montagna: le due frecce si incontrano in modo eccezionale.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E’ l’essenza che si incontra con i fenomeni, è l’incontro fra due menti nella trasmissione, è il Maestro che si incontra con i discepoli.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19/20. E’ la verità di tutti i giorni quella cui si arriva con la mente di tutti i giorni, la mente naturale, la mente taoista.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Le azioni banali, di ubbidienza alla legge di tutti i giorni sembrano stupide, non particolari, non vistose, ma sono proprio esse che realizzano l’armonia, il tao.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(a cura di Teresa </w:t>
      </w:r>
      <w:proofErr w:type="spellStart"/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Maddi</w:t>
      </w:r>
      <w:proofErr w:type="spellEnd"/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)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noshade="t" o:hr="t" fillcolor="black" stroked="f"/>
        </w:pic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37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Tozan</w:t>
      </w:r>
      <w:proofErr w:type="spellEnd"/>
      <w:r w:rsidRPr="0037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(</w:t>
      </w:r>
      <w:proofErr w:type="spellStart"/>
      <w:r w:rsidRPr="0037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Tung-shan</w:t>
      </w:r>
      <w:proofErr w:type="spellEnd"/>
      <w:r w:rsidRPr="0037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)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Tung-shan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(807-869) fu il Maestro fondatore della casa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Ts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ao-tung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contemporanea della casa di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Lin-chi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Un suo discepolo,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Yun-chu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(morto nel 902) promosse la diffusione della scuola, l’unica che contrastò l’egemonia della casa di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Lin-chi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epoca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Sung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ed ebbe seguito in Giappone come setta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Soto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Tung-shan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particolarmente dotato nell’arte poetica, espose spesso le sue dottrine in versi.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E’ questo infatti il caso del breve poema "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Samadhi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dello specchio prezioso". In esso si accenna ai </w:t>
      </w:r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cinque stati, cinque posizioni o mutamenti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elaborazione dottrinale che costituiva il marchio del lignaggio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Ts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ao-tung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Nella teoria delle cinque posizioni (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wu-wei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è evidente l’influsso dell’I King (Libro dei Mutamenti) e della filosofia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Hwa-Yen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Sutra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ghirlanda).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Vengono rappresentati i cinque rapporti fra assoluto e relativo, fra essenza e fenomeni, fra oscuro e chiaro. Il cerchio nero rappresenta il vuoto, l’assoluto, il cerchio bianco rappresenta i fenomeni, il relativo. Le posizioni implicano l’unità dei due elementi contemplata da cinque punti di vista. La quarta posizione è l’inverso della terza. Nella quinta posizione si arriva all’unità: nella raffigurazione le posizioni dei bastoncini si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interpenetrano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fra di loro. Poiché però, col passare del tempo, la teoria delle cinque posizioni degenerò in mero artificio dialettico, non venne più molto presa in considerazione.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Dogen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(1200-1253), il più grande Maestro della setta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Soto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non la adottò. Anche nella scuola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Ts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ao-tung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oltre che nella scuola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Lin-chi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Rinzai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), per liberare la mente dei discepoli da elaborazioni troppo concettuali, il linguaggio fu utilizzato per spingere ad "allargare le mani". Non è questione di dare un nome secondo il suo significato: "il regno detto </w:t>
      </w:r>
      <w:r w:rsidRPr="00377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strada nascosta 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 il regno del non-nome e del non-significato".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377513" w:rsidRPr="00377513" w:rsidRDefault="00377513" w:rsidP="00377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37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Caso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Un monaco chiese a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Tung-shan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"Quando arrivano il caldo e il freddo, come possiamo evitarli?".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Shan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disse: "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Perchè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andate nel luogo in cui non c’è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nè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caldo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nè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freddo?". Il monaco disse: "Qual è il luogo in cui non c’è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nè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caldo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nè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freddo?".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Tung-shan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disse: "Quando è caldo, il caldo vi uccide; quando è freddo, il freddo vi uccide". Nella conversazione della casa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Ts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ao-tung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necessario che capiate il caso non appena viene pronunciato.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ancora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Ts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ao-shan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chiese a un monaco: "Quando è così caldo, dove andrai per evitarlo?". Il monaco disse: "Lo eviterò dentro un calderone bollente, sotto i tizzoni di una fornace".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Ts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ao-shan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disse: "Come può essere evitato dentro un calderone bollente o fra i tizzoni di una fornace?". Il monaco disse: "La moltitudine delle sofferenze non può essere raggiunta qui".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"Quando avrete estinto la mente il fuoco sarà di per 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sè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freddo".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377513" w:rsidRPr="00377513" w:rsidRDefault="00377513" w:rsidP="00377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jc w:val="center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1"/>
        <w:gridCol w:w="2730"/>
        <w:gridCol w:w="2160"/>
        <w:gridCol w:w="2216"/>
      </w:tblGrid>
      <w:tr w:rsidR="00377513" w:rsidRPr="00377513" w:rsidTr="00377513">
        <w:trPr>
          <w:tblCellSpacing w:w="7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Un mandala Zen - I cinque stati o principi</w:t>
            </w:r>
          </w:p>
        </w:tc>
      </w:tr>
      <w:tr w:rsidR="00377513" w:rsidRPr="00377513" w:rsidTr="00377513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Relativo nell'assoluto</w:t>
            </w:r>
          </w:p>
        </w:tc>
        <w:tc>
          <w:tcPr>
            <w:tcW w:w="0" w:type="auto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76375" cy="1619250"/>
                  <wp:effectExtent l="19050" t="0" r="9525" b="0"/>
                  <wp:docPr id="5" name="Immagine 5" descr="http://www.gianfrancobertagni.it/materiali/zen/cerchi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ianfrancobertagni.it/materiali/zen/cerchi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190625" cy="1228725"/>
                  <wp:effectExtent l="19050" t="0" r="9525" b="0"/>
                  <wp:docPr id="6" name="Immagine 6" descr="http://www.gianfrancobertagni.it/materiali/zen/line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ianfrancobertagni.it/materiali/zen/line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Il vento</w:t>
            </w:r>
          </w:p>
        </w:tc>
      </w:tr>
      <w:tr w:rsidR="00377513" w:rsidRPr="00377513" w:rsidTr="00377513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Assoluto nel relativo</w:t>
            </w:r>
          </w:p>
        </w:tc>
        <w:tc>
          <w:tcPr>
            <w:tcW w:w="0" w:type="auto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57325" cy="1552575"/>
                  <wp:effectExtent l="19050" t="0" r="9525" b="0"/>
                  <wp:docPr id="7" name="Immagine 7" descr="http://www.gianfrancobertagni.it/materiali/zen/cerchi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ianfrancobertagni.it/materiali/zen/cerchi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228725" cy="1209675"/>
                  <wp:effectExtent l="19050" t="0" r="9525" b="0"/>
                  <wp:docPr id="8" name="Immagine 8" descr="http://www.gianfrancobertagni.it/materiali/zen/line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ianfrancobertagni.it/materiali/zen/line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Il lago</w:t>
            </w:r>
          </w:p>
        </w:tc>
      </w:tr>
      <w:tr w:rsidR="00377513" w:rsidRPr="00377513" w:rsidTr="00377513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Uscire dall'assoluto</w:t>
            </w:r>
          </w:p>
        </w:tc>
        <w:tc>
          <w:tcPr>
            <w:tcW w:w="0" w:type="auto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590675" cy="1495425"/>
                  <wp:effectExtent l="19050" t="0" r="9525" b="0"/>
                  <wp:docPr id="9" name="Immagine 9" descr="http://www.gianfrancobertagni.it/materiali/zen/cerch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ianfrancobertagni.it/materiali/zen/cerch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219200" cy="1238250"/>
                  <wp:effectExtent l="0" t="0" r="0" b="0"/>
                  <wp:docPr id="10" name="Immagine 10" descr="http://www.gianfrancobertagni.it/materiali/zen/line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ianfrancobertagni.it/materiali/zen/line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 preponderanza </w:t>
            </w:r>
            <w:r w:rsidRPr="0037751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7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del grande</w:t>
            </w:r>
          </w:p>
        </w:tc>
      </w:tr>
      <w:tr w:rsidR="00377513" w:rsidRPr="00377513" w:rsidTr="00377513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Entrare in entrambi</w:t>
            </w:r>
          </w:p>
        </w:tc>
        <w:tc>
          <w:tcPr>
            <w:tcW w:w="0" w:type="auto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381125" cy="1438275"/>
                  <wp:effectExtent l="19050" t="0" r="9525" b="0"/>
                  <wp:docPr id="11" name="Immagine 11" descr="http://www.gianfrancobertagni.it/materiali/zen/cerchio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ianfrancobertagni.it/materiali/zen/cerchio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219200" cy="1228725"/>
                  <wp:effectExtent l="0" t="0" r="0" b="0"/>
                  <wp:docPr id="12" name="Immagine 12" descr="http://www.gianfrancobertagni.it/materiali/zen/line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gianfrancobertagni.it/materiali/zen/line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 verità interiore</w:t>
            </w:r>
          </w:p>
        </w:tc>
      </w:tr>
      <w:tr w:rsidR="00377513" w:rsidRPr="00377513" w:rsidTr="00377513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Realizzare in entrambi</w:t>
            </w:r>
          </w:p>
        </w:tc>
        <w:tc>
          <w:tcPr>
            <w:tcW w:w="0" w:type="auto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552575" cy="1476375"/>
                  <wp:effectExtent l="19050" t="0" r="9525" b="0"/>
                  <wp:docPr id="13" name="Immagine 13" descr="http://www.gianfrancobertagni.it/materiali/zen/cerchio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gianfrancobertagni.it/materiali/zen/cerchio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219200" cy="1228725"/>
                  <wp:effectExtent l="0" t="0" r="0" b="0"/>
                  <wp:docPr id="14" name="Immagine 14" descr="http://www.gianfrancobertagni.it/materiali/zen/linee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ianfrancobertagni.it/materiali/zen/linee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513" w:rsidRPr="00377513" w:rsidRDefault="00377513" w:rsidP="003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Il fuoco</w:t>
            </w:r>
          </w:p>
        </w:tc>
      </w:tr>
    </w:tbl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Anche se possiamo individuare il vuoto con il nero e i fenomeni con il bianco (o viceversa), è più corretto considerare il loro rapporto reciproco. I primi due stati rappresentano l’assorbimento (</w:t>
      </w:r>
      <w:proofErr w:type="spellStart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samadhi</w:t>
      </w:r>
      <w:proofErr w:type="spellEnd"/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dello specchio e la visione profonda), il terzo e il quarto rappresentano il ritorno verso i fenomeni con la mente compassionevole e l’azione a beneficio di tutti gli esseri. Il quinto stato </w:t>
      </w: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rappresenta la libertà da tutti gli schemi prefissati di pensiero e azione con la perfetta fusione fra vuoto e fenomeni, mente e mondo reale.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377513" w:rsidRPr="00377513" w:rsidRDefault="00377513" w:rsidP="0037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775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Da: </w:t>
      </w:r>
      <w:hyperlink r:id="rId14" w:tgtFrame="_top" w:history="1">
        <w:r w:rsidRPr="00377513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it-IT"/>
          </w:rPr>
          <w:t>http://www.geocities.com/zen_milano/zen/Hokyo_Zanmai.html</w:t>
        </w:r>
      </w:hyperlink>
    </w:p>
    <w:p w:rsidR="00C919A8" w:rsidRPr="00377513" w:rsidRDefault="00C919A8" w:rsidP="0037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19A8" w:rsidRPr="00377513" w:rsidSect="00C91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7513"/>
    <w:rsid w:val="00377513"/>
    <w:rsid w:val="00C9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9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7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77513"/>
  </w:style>
  <w:style w:type="character" w:styleId="Collegamentoipertestuale">
    <w:name w:val="Hyperlink"/>
    <w:basedOn w:val="Carpredefinitoparagrafo"/>
    <w:uiPriority w:val="99"/>
    <w:semiHidden/>
    <w:unhideWhenUsed/>
    <w:rsid w:val="003775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74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hyperlink" Target="http://www.geocities.com/zen_milano/zen/Hokyo_Zanma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1823</Words>
  <Characters>10395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2015-07-17T08:28:00Z</dcterms:created>
  <dcterms:modified xsi:type="dcterms:W3CDTF">2015-07-17T08:28:00Z</dcterms:modified>
</cp:coreProperties>
</file>