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</w:p>
    <w:p w:rsidR="00D22A95" w:rsidRPr="00D22A95" w:rsidRDefault="00D22A95" w:rsidP="00D22A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bookmarkStart w:id="0" w:name="inizio"/>
      <w:r w:rsidRPr="00D22A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Vita e opere di </w:t>
      </w:r>
      <w:proofErr w:type="spellStart"/>
      <w:r w:rsidRPr="00D22A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Shankara</w:t>
      </w:r>
      <w:bookmarkEnd w:id="0"/>
      <w:proofErr w:type="spellEnd"/>
    </w:p>
    <w:p w:rsidR="00D22A95" w:rsidRPr="00D22A95" w:rsidRDefault="00D22A95" w:rsidP="00D22A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(scheda didattica)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di </w:t>
      </w:r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Paolo </w:t>
      </w: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Scroccaro</w:t>
      </w:r>
      <w:proofErr w:type="spellEnd"/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Shankara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riconosciuto come uno dei massimi esponenti della metafisica di tutti i tempi. Ciò nonostante, non è nemmeno citato nei nostri manuali di filosofia, liceali ed universitari (vi è un'unica eccezione: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E. 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Balducci</w:t>
      </w:r>
      <w:proofErr w:type="spellEnd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 Storia del pensiero umano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). La gravissima omissione, oltre che deplorevole, è del tutto ingiustificabile, e si aggiunge alle altre che da tempo andiamo denunciando, nel tentativo di allargare gli angusti confini entro i quali si attarda la cultura "ufficiale", troppo unilaterale ed eurocentrica.</w:t>
      </w:r>
    </w:p>
    <w:p w:rsidR="00D22A95" w:rsidRPr="00D22A95" w:rsidRDefault="00D22A95" w:rsidP="00D22A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D22A95" w:rsidRPr="00D22A95" w:rsidRDefault="00D22A95" w:rsidP="00D22A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it-IT"/>
        </w:rPr>
        <w:t>Shankara</w:t>
      </w:r>
      <w:proofErr w:type="spellEnd"/>
      <w:r w:rsidRPr="00D22A9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it-IT"/>
        </w:rPr>
        <w:t xml:space="preserve"> (788-820 circa)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("Benefattore" o "Creatore di pace", attributo di Shiva)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Certi dettagli riguardanti la vita non sono certi, poiché egli nelle sue opere non fornisce riferimenti biografici espliciti. Il mettere tra parentesi ciò che è di ordine individuale, è in linea con lo stile della 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Sophia</w:t>
      </w:r>
      <w:proofErr w:type="spellEnd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Perennis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o 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Sanâtana</w:t>
      </w:r>
      <w:proofErr w:type="spellEnd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Dharma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 cui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Shankara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uno dei maggiori rappresentanti. È noto, infatti, che tale tradizione prevede l'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oltrepassamento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l'estinzione dell'ego a qualsiasi livello, in vista del carattere "impersonale" della realizzazione spirituale. Per quanto riguarda la biografia, ci limiteremo perciò a segnalare solo i dati più essenziali, confermati da varie fonti (talvolta si possono trovare versioni diverse, specie per quanto riguarda le sequenze spazio-temporali, che però non alterano minimamente il contesto globale ed anzi esaltano l'opera del grande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Advaitin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Nasce nel villaggio di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Kâlati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vicino all'odierna città di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Alwaye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Kêrala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(India meridionale), da una famiglia brahmanica. Ancora bambino, impara il Sanscrito, i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Veda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i 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Purâna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Darshana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ortodossi... muovendo i primi passi verso la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sâdhanâ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(sentiero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realizzativo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disciplina spirituale). A soli 8 anni, lascia il villaggio natio e decide di praticare la povertà volontaria, alla ricerca di maestri spirituali. Peregrinando, incontra il grande asceta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Govinda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(già discepolo di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Gaudapâda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), che lo accetta nella sua comunità, facendogli da guru (istruttore), e verificate le eccellenti qualità del giovanissimo allievo, lo esorta a commentare le 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Upanishad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Baghavad</w:t>
      </w:r>
      <w:proofErr w:type="spellEnd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Gita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ed i 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Brahmasûtra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(che nell'insieme costituiscono la triplice base del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Vedânta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). A questo periodo sembra appartenere anche il </w:t>
      </w:r>
      <w:proofErr w:type="spellStart"/>
      <w:r w:rsidRPr="00D22A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Vivekacûdâmani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Gran Gioiello della Discriminazione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Tramite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Govinda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può avvicinare anche il venerabile saggio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Gaudapåda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stava preparando la sua dipartita dalla Manifestazione, vivendo appartato nell'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Himâlaya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in una caverna presso le sorgenti del Gange. Il maestro dell'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Asparsha-Vâda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(Via del "Senza Sostegno") lo accoglie con grande favore e lo invita ad operare per risanare la spiritualità tradizionale, offuscata a causa della degenerazione di buona parte del mondo brahminico. La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rivivificazione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dovrebbe partire da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Benares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centro spirituale per eccellenza.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tradizione racconta poi che in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Himâlaya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sul monte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Kailâsa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avviene "l'unione di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Shankara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il dio Shiva", culminante nella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Paramadiksa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(Iniziazione Suprema). Da allora viene considerato un'incarnazione del dio Shiva, una sua "Discesa" (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Avatâra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Ritornato nel mondo ordinario per la scomparsa della madre e di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Govinda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qualità di grande istruttore spirituale inizia i suoi viaggi trionfali per l'India, culminanti nel soggiorno di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Benares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la città di Shiva, sacra agli Indù. Qui insegna l'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Advaita</w:t>
      </w:r>
      <w:proofErr w:type="spellEnd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Vedânta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(il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Vedânta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Non-Dualità) e si confronta con gli esponenti delle altre scuole (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darshana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), ortodosse o meno, dimostrando che la metafisica della Non-Dualità è da sempre l'espressione più universale della tradizione indù e che i contenuti più profondi dei testi sacri corrispondono perfettamente a tale metafisica. Comincia a "formare" i suoi discepoli più importanti, che ne prolungheranno l'opera.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Dopo i successi di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Benares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lascia anche la città sacra per insegnare altrove l'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Advaita-vâda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seguito da alcuni allievi. In questo contesto, fonda i primi monasteri e diversi ordini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monastici-iniziatici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lo scopo di rivitalizzare la spiritualità indù, riportandola ai significati più elevati e più 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universali, oltrepassando le chiusure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letteralistiche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ritualistiche, pedanti e superficiali, sostenute da troppi brahmani incompetenti, incapaci di penetrare intellettualmente la vastità della dottrina depositata nei simbolismi dei testi sacri (molti accetteranno la guida di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Shankara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altri tenteranno, vanamente, di contrastarlo).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32 anni, completata la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rivivificazione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spiritualità secondo gli orientamenti dell'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Advaita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"ricongiunge a Shiva" ed entra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Mahâsamâdhi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(Assorbimento Totale nell'Assoluto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Brahman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Nirguna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ritirandosi definitivamente dalla Manifestazione. Secondo la versione bengali, il Grande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Samâdhi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sarebbe avvenuto nel monte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Kailâsa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dimora di Shiva; secondo altre versioni, 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Kâñcî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dove ancor oggi si venera la sua tomba (e dove a suo tempo il re locale l'aveva accolto con grandi onori, facendogli costruire anche un importante monastero).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In genere, egli è ricordato con l'onorifico appellativo di 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Jagadguru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cioè Maestro del mondo, Maestro Cosmico o Universale: considerando l'ampiezza illimitata dell'Insegnamento, l'attributo è del tutto appropriato.</w:t>
      </w:r>
    </w:p>
    <w:p w:rsidR="00D22A95" w:rsidRPr="00D22A95" w:rsidRDefault="00D22A95" w:rsidP="00D22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it-IT"/>
        </w:rPr>
        <w:t xml:space="preserve">Opere attribuite a </w:t>
      </w:r>
      <w:proofErr w:type="spellStart"/>
      <w:r w:rsidRPr="00D22A9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it-IT"/>
        </w:rPr>
        <w:t>Shankara</w:t>
      </w:r>
      <w:proofErr w:type="spellEnd"/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Commentari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Bhâsya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 a 10 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Upanishad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antiche, parte integrante dei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Veda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Bhadâranyaka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Chândogya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Taittirîya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Aitareya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Kena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Katha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Îsa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Muñdaka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Prasna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Mâñdûkya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Commentari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ai 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Brahmasûtra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(555 aforismi su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Brahman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danno la chiave di lettura dei testi sacri) e alla 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Bhagavad</w:t>
      </w:r>
      <w:proofErr w:type="spellEnd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Gita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Vari </w:t>
      </w:r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Inni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e </w:t>
      </w:r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Canti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devozionali, dedicati 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Govinda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Krishna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 Shiva e a varie divinità indù (considerate aspetti o personificazioni del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Brahman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nirguna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nella sua assoluta illimitatezza trascende tutte le determinazioni).Il fatto non è secondario, perché segnala una volta di più l'universalità dell'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Advaita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Vedânta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capacità di superare le frammentazioni religiose, dovute a qualche forma di ristrettezza mentale, per altro inevitabile, entro certi limiti quando ci si rivolge ai più.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Molti trattati (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Prakaraña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 di metafisica, che insegnano a meditare su aspetti decisivi dell'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Advaita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Vâda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Âtmabodha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Conoscenza del Sé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manuale fondamentale della metafisica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vedantina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poiché insegna a superare l'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egoicità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altre sovrapposizioni velanti che occultano il Sé universale.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Vivekacûdâmani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Gran Gioiello della Discriminazione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), manuale che insegna la discriminazione (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viveka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 tra Realtà assoluta e illusoria, tra l'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Universale-sovraformale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forme parziali e relative. La liberazione esige il superamento delle identificazioni imprigionanti che legano al condizionato.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Aparokshânubhûti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Realizzazione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o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Esperienza Diretta del Sé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in cui vengono spiegati i mezzi per ottenere tale conoscenza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realizzativa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a partire da certi prerequisiti indispensabili che qualificano l'ascesi.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Upadeshasâhasrî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L'Istruzione in un Migliaio di Versi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ampio trattato presentato nella forma di un dialogo tra Istruttore spirituale e discepolo. Il Maestro risponde alle obiezioni dell'allievo, aiutandolo a superare dubbi, paure e ristrettezza mentale, ostacoli ricorrenti in qualsiasi sentiero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realizzativo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Opere concise, talvolta brevissime, dedicate a qualche speciale risvolto dottrinario, forse sintesi di trattati più estesi: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Laghuvâkyavritti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Breve Esposizione della Sentenza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commenta il mantra "Io sono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Brahman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", in modo assai conciso.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Vâkyavritti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Esposizione della Sentenza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): veloce commento della sentenza "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Tat</w:t>
      </w:r>
      <w:proofErr w:type="spellEnd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Tvam</w:t>
      </w:r>
      <w:proofErr w:type="spellEnd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Asi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"(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Tu Sei Quello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Jîvanmuktânandalaharî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L'Oceano di Beatitudine del Liberato in Vita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), descrive sinteticamente tale condizione, per quanto possibile.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Âtmajñâopadeshavidhi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Istruzione sulla Conoscenza del Sé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), esamina i vari involucri velanti e i vari stati di coscienza ("veglia, sogno, sonno profondo"), fino alla Coscienza Pura Universale, testimoniata dall'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Âtman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onnipervadente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Pañcakaranam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Quintuplice Ripartizione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), brevissima operetta che spiega il processo di formazione del mondo, a partire dai 5 Elementi, con commento del simbolismo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AUM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OM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Sadâcarâ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Via dell'Essere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): indica alcune regole che l'aspirante deve seguire per realizzare la Purificazione e la Conoscenza.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Yâtipañcakam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Cinque Versi sull'Asceta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): rapido scorcio sulla dimensione di vita dell'asceta.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Shivapañcaksharam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Quintuplice Realizzazione di Shiva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): spiega in che senso la sola realtà sia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Shiva-Brahman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Manîshâpañcakam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Quintuplice Convinzione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) descrive "l'incontro" con Shiva.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alcuni, sarebbe l'autore anche del </w:t>
      </w: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Drig</w:t>
      </w:r>
      <w:proofErr w:type="spellEnd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Drishya</w:t>
      </w:r>
      <w:proofErr w:type="spellEnd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Viveka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Discriminazione tra Spettatore e Spettacolo</w:t>
      </w: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vale a dire tra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Âtman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non-Âtman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opera perfettamente in linea con la metafisica non-dualistica ed espressione della Scuola. Che l'autore materiale, in questo caso come in altri, possa esser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Shankara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qualche altro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Advaitin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in fondo è un fatto che riveste un'importanza del tutto marginale.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Terminiamo questa rassegna, necessariamente selettiva e incompleta, ricordando che a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Shankara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viene attribuito anche il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testo</w:t>
      </w:r>
      <w:r w:rsidRPr="00D22A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Sharva-Vedânta-Siddhânta-Sârasangraha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La Quintessenza del 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Vedânta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): come recita il titolo, si tratta di un notevole manuale di dottrina della Non-Dualità, che viene organicamente compendiata in 1.006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Sûtra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Come ricorda l'ultimo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Sûtra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, "quest'opera è stata composta affinché possa aiutare altri aspiranti alla saggezza a disperdere i dubbi che possono sorgere nei loro cuori".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Molti tra i testi citati sono pubblicati in lingua italiana nelle Edizioni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Âsram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Vidyâ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. </w:t>
      </w:r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La quintessenza del </w:t>
      </w:r>
      <w:proofErr w:type="spellStart"/>
      <w:r w:rsidRPr="00D22A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Vedanta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si trova nelle Edizioni </w:t>
      </w:r>
      <w:proofErr w:type="spellStart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Ubaldini</w:t>
      </w:r>
      <w:proofErr w:type="spellEnd"/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22A95" w:rsidRPr="00D22A95" w:rsidRDefault="00D22A95" w:rsidP="00D2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44FDB" w:rsidRPr="00D22A95" w:rsidRDefault="00D22A95" w:rsidP="00D22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A95">
        <w:rPr>
          <w:rFonts w:ascii="Times New Roman" w:eastAsia="Times New Roman" w:hAnsi="Times New Roman" w:cs="Times New Roman"/>
          <w:sz w:val="24"/>
          <w:szCs w:val="24"/>
          <w:lang w:eastAsia="it-IT"/>
        </w:rPr>
        <w:t>Da: </w:t>
      </w:r>
      <w:hyperlink r:id="rId4" w:tgtFrame="_top" w:history="1">
        <w:r w:rsidRPr="00D22A95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it-IT"/>
          </w:rPr>
          <w:t>http://www.estovest.net/tradizione/shankara.html</w:t>
        </w:r>
      </w:hyperlink>
    </w:p>
    <w:sectPr w:rsidR="00744FDB" w:rsidRPr="00D22A95" w:rsidSect="00744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2A95"/>
    <w:rsid w:val="00744FDB"/>
    <w:rsid w:val="00D2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FDB"/>
  </w:style>
  <w:style w:type="paragraph" w:styleId="Titolo1">
    <w:name w:val="heading 1"/>
    <w:basedOn w:val="Normale"/>
    <w:link w:val="Titolo1Carattere"/>
    <w:uiPriority w:val="9"/>
    <w:qFormat/>
    <w:rsid w:val="00D22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22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22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2A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2A9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22A9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D2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utore">
    <w:name w:val="autore"/>
    <w:basedOn w:val="Normale"/>
    <w:rsid w:val="00D2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22A95"/>
  </w:style>
  <w:style w:type="character" w:styleId="Enfasigrassetto">
    <w:name w:val="Strong"/>
    <w:basedOn w:val="Carpredefinitoparagrafo"/>
    <w:uiPriority w:val="22"/>
    <w:qFormat/>
    <w:rsid w:val="00D22A95"/>
    <w:rPr>
      <w:b/>
      <w:bCs/>
    </w:rPr>
  </w:style>
  <w:style w:type="paragraph" w:customStyle="1" w:styleId="art">
    <w:name w:val="art"/>
    <w:basedOn w:val="Normale"/>
    <w:rsid w:val="00D2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22A9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22A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tovest.net/tradizione/shankar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1428</Words>
  <Characters>8143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2015-07-16T11:06:00Z</dcterms:created>
  <dcterms:modified xsi:type="dcterms:W3CDTF">2015-07-16T11:15:00Z</dcterms:modified>
</cp:coreProperties>
</file>